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03" w:rsidRDefault="00C24603" w:rsidP="00C24603">
      <w:pPr>
        <w:pStyle w:val="NormalWeb"/>
        <w:rPr>
          <w:color w:val="000000"/>
          <w:sz w:val="27"/>
          <w:szCs w:val="27"/>
        </w:rPr>
      </w:pPr>
      <w:bookmarkStart w:id="0" w:name="_GoBack"/>
      <w:bookmarkEnd w:id="0"/>
      <w:r>
        <w:rPr>
          <w:color w:val="000000"/>
          <w:sz w:val="27"/>
          <w:szCs w:val="27"/>
        </w:rPr>
        <w:t xml:space="preserve">Outpatient APP </w:t>
      </w:r>
    </w:p>
    <w:p w:rsidR="00C24603" w:rsidRDefault="00C24603" w:rsidP="00C24603">
      <w:pPr>
        <w:pStyle w:val="NormalWeb"/>
        <w:rPr>
          <w:color w:val="000000"/>
          <w:sz w:val="27"/>
          <w:szCs w:val="27"/>
        </w:rPr>
      </w:pPr>
    </w:p>
    <w:p w:rsidR="00C24603" w:rsidRDefault="00C24603" w:rsidP="00C24603">
      <w:pPr>
        <w:pStyle w:val="NormalWeb"/>
        <w:rPr>
          <w:color w:val="000000"/>
          <w:sz w:val="27"/>
          <w:szCs w:val="27"/>
        </w:rPr>
      </w:pPr>
      <w:r>
        <w:rPr>
          <w:color w:val="000000"/>
          <w:sz w:val="27"/>
          <w:szCs w:val="27"/>
        </w:rPr>
        <w:t>Purpose:</w:t>
      </w:r>
    </w:p>
    <w:p w:rsidR="004337BC" w:rsidRDefault="00C24603" w:rsidP="00C24603">
      <w:pPr>
        <w:pStyle w:val="NormalWeb"/>
        <w:rPr>
          <w:color w:val="000000"/>
          <w:sz w:val="27"/>
          <w:szCs w:val="27"/>
        </w:rPr>
      </w:pPr>
      <w:r>
        <w:rPr>
          <w:color w:val="000000"/>
          <w:sz w:val="27"/>
          <w:szCs w:val="27"/>
        </w:rPr>
        <w:t>To replace the outpatient APP for the adult sickle cell program. This position will provide ambulatory clinic service as an advanced provider.</w:t>
      </w:r>
    </w:p>
    <w:p w:rsidR="00C24603" w:rsidRDefault="00C24603" w:rsidP="00C24603">
      <w:pPr>
        <w:pStyle w:val="NormalWeb"/>
        <w:rPr>
          <w:color w:val="000000"/>
          <w:sz w:val="27"/>
          <w:szCs w:val="27"/>
        </w:rPr>
      </w:pPr>
      <w:r>
        <w:rPr>
          <w:color w:val="000000"/>
          <w:sz w:val="27"/>
          <w:szCs w:val="27"/>
        </w:rPr>
        <w:t xml:space="preserve">· A minimum of </w:t>
      </w:r>
      <w:proofErr w:type="gramStart"/>
      <w:r w:rsidRPr="00C24603">
        <w:rPr>
          <w:color w:val="FF0000"/>
          <w:sz w:val="27"/>
          <w:szCs w:val="27"/>
        </w:rPr>
        <w:t>6</w:t>
      </w:r>
      <w:proofErr w:type="gramEnd"/>
      <w:r w:rsidRPr="00C24603">
        <w:rPr>
          <w:color w:val="FF0000"/>
          <w:sz w:val="27"/>
          <w:szCs w:val="27"/>
        </w:rPr>
        <w:t xml:space="preserve"> half-day </w:t>
      </w:r>
      <w:r>
        <w:rPr>
          <w:color w:val="000000"/>
          <w:sz w:val="27"/>
          <w:szCs w:val="27"/>
        </w:rPr>
        <w:t xml:space="preserve">clinic sessions (FTE) in accordance with VCU Access standard </w:t>
      </w:r>
    </w:p>
    <w:p w:rsidR="00C24603" w:rsidRDefault="00C24603" w:rsidP="00C24603">
      <w:pPr>
        <w:pStyle w:val="NormalWeb"/>
        <w:rPr>
          <w:color w:val="000000"/>
          <w:sz w:val="27"/>
          <w:szCs w:val="27"/>
        </w:rPr>
      </w:pPr>
      <w:r>
        <w:rPr>
          <w:color w:val="000000"/>
          <w:sz w:val="27"/>
          <w:szCs w:val="27"/>
        </w:rPr>
        <w:t xml:space="preserve">· Have a 240 minute per session template with an average of at least 192 clinical minutes scheduled per session  </w:t>
      </w:r>
    </w:p>
    <w:p w:rsidR="00C24603" w:rsidRDefault="00C24603" w:rsidP="00C24603">
      <w:pPr>
        <w:pStyle w:val="NormalWeb"/>
        <w:rPr>
          <w:color w:val="000000"/>
          <w:sz w:val="27"/>
          <w:szCs w:val="27"/>
        </w:rPr>
      </w:pPr>
      <w:r>
        <w:rPr>
          <w:color w:val="000000"/>
          <w:sz w:val="27"/>
          <w:szCs w:val="27"/>
        </w:rPr>
        <w:t xml:space="preserve">· Meeting or exceeding pre-specified </w:t>
      </w:r>
      <w:proofErr w:type="spellStart"/>
      <w:r>
        <w:rPr>
          <w:color w:val="000000"/>
          <w:sz w:val="27"/>
          <w:szCs w:val="27"/>
        </w:rPr>
        <w:t>wRVU</w:t>
      </w:r>
      <w:proofErr w:type="spellEnd"/>
      <w:r>
        <w:rPr>
          <w:color w:val="000000"/>
          <w:sz w:val="27"/>
          <w:szCs w:val="27"/>
        </w:rPr>
        <w:t xml:space="preserve"> target NO, but growth annually toward 2846 RVUs annually</w:t>
      </w:r>
    </w:p>
    <w:p w:rsidR="00C24603" w:rsidRDefault="00C24603" w:rsidP="00C24603">
      <w:pPr>
        <w:pStyle w:val="NormalWeb"/>
        <w:rPr>
          <w:color w:val="000000"/>
          <w:sz w:val="27"/>
          <w:szCs w:val="27"/>
        </w:rPr>
      </w:pPr>
      <w:r>
        <w:rPr>
          <w:color w:val="000000"/>
          <w:sz w:val="27"/>
          <w:szCs w:val="27"/>
        </w:rPr>
        <w:t xml:space="preserve">Previous experience in this specialty </w:t>
      </w:r>
      <w:proofErr w:type="gramStart"/>
      <w:r>
        <w:rPr>
          <w:color w:val="000000"/>
          <w:sz w:val="27"/>
          <w:szCs w:val="27"/>
        </w:rPr>
        <w:t>required?</w:t>
      </w:r>
      <w:proofErr w:type="gramEnd"/>
      <w:r>
        <w:rPr>
          <w:color w:val="000000"/>
          <w:sz w:val="27"/>
          <w:szCs w:val="27"/>
        </w:rPr>
        <w:t xml:space="preserve"> No</w:t>
      </w:r>
    </w:p>
    <w:p w:rsidR="00C24603" w:rsidRDefault="00C24603" w:rsidP="00C24603">
      <w:pPr>
        <w:pStyle w:val="NormalWeb"/>
        <w:rPr>
          <w:color w:val="000000"/>
          <w:sz w:val="27"/>
          <w:szCs w:val="27"/>
        </w:rPr>
      </w:pPr>
      <w:r>
        <w:rPr>
          <w:color w:val="000000"/>
          <w:sz w:val="27"/>
          <w:szCs w:val="27"/>
        </w:rPr>
        <w:t>Position FTE (e.g., 1.0, 0.8, etc.):</w:t>
      </w:r>
      <w:r w:rsidRPr="00C24603">
        <w:rPr>
          <w:color w:val="FF0000"/>
          <w:sz w:val="27"/>
          <w:szCs w:val="27"/>
        </w:rPr>
        <w:t xml:space="preserve"> 0.75</w:t>
      </w:r>
    </w:p>
    <w:p w:rsidR="00C24603" w:rsidRDefault="00C24603" w:rsidP="00C24603">
      <w:pPr>
        <w:pStyle w:val="NormalWeb"/>
        <w:rPr>
          <w:color w:val="000000"/>
          <w:sz w:val="27"/>
          <w:szCs w:val="27"/>
        </w:rPr>
      </w:pPr>
    </w:p>
    <w:p w:rsidR="00C24603" w:rsidRDefault="00C24603" w:rsidP="00C24603">
      <w:pPr>
        <w:pStyle w:val="NormalWeb"/>
        <w:rPr>
          <w:color w:val="000000"/>
          <w:sz w:val="27"/>
          <w:szCs w:val="27"/>
        </w:rPr>
      </w:pPr>
      <w:r>
        <w:rPr>
          <w:color w:val="000000"/>
          <w:sz w:val="27"/>
          <w:szCs w:val="27"/>
        </w:rPr>
        <w:t>Scope of Responsibilities (must add up to 100%):</w:t>
      </w:r>
    </w:p>
    <w:p w:rsidR="00C24603" w:rsidRDefault="00C24603" w:rsidP="00C24603">
      <w:pPr>
        <w:pStyle w:val="NormalWeb"/>
        <w:rPr>
          <w:color w:val="000000"/>
          <w:sz w:val="27"/>
          <w:szCs w:val="27"/>
        </w:rPr>
      </w:pPr>
      <w:r>
        <w:rPr>
          <w:color w:val="000000"/>
          <w:sz w:val="27"/>
          <w:szCs w:val="27"/>
        </w:rPr>
        <w:t xml:space="preserve">· 100 % ambulatory. This position will work with outpatient sickle cell patients in AOP13 </w:t>
      </w:r>
      <w:r w:rsidRPr="00C24603">
        <w:rPr>
          <w:color w:val="FF0000"/>
          <w:sz w:val="27"/>
          <w:szCs w:val="27"/>
        </w:rPr>
        <w:t xml:space="preserve">at least 6 half days per week.  </w:t>
      </w:r>
    </w:p>
    <w:p w:rsidR="00C24603" w:rsidRDefault="00C24603" w:rsidP="00C24603">
      <w:pPr>
        <w:pStyle w:val="NormalWeb"/>
        <w:rPr>
          <w:color w:val="000000"/>
          <w:sz w:val="27"/>
          <w:szCs w:val="27"/>
        </w:rPr>
      </w:pPr>
      <w:r>
        <w:rPr>
          <w:color w:val="000000"/>
          <w:sz w:val="27"/>
          <w:szCs w:val="27"/>
        </w:rPr>
        <w:t>The Adult Sickle Cell Medical Home is saving dollars for the institution and prevention unnecessary hospital care. Since the inception of the medical home in 2018 and through year 2019, the Medical Home has saved $2.4 Million dollars in avoided costs, mostly through avoided hospital days.</w:t>
      </w:r>
    </w:p>
    <w:p w:rsidR="00C24603" w:rsidRDefault="00C24603" w:rsidP="00C24603">
      <w:pPr>
        <w:pStyle w:val="NormalWeb"/>
        <w:rPr>
          <w:color w:val="000000"/>
          <w:sz w:val="27"/>
          <w:szCs w:val="27"/>
        </w:rPr>
      </w:pPr>
      <w:r>
        <w:rPr>
          <w:color w:val="000000"/>
          <w:sz w:val="27"/>
          <w:szCs w:val="27"/>
        </w:rPr>
        <w:t xml:space="preserve">· Conduct expert specialty practice within the Adult Sickle Cell Medical Home. Substantial domain knowledge and skill are required for this replacement APP, which is critical to the stability of the Adult Sickle Cell Medical Home. Substantial domain knowledge and skill are required to become a sickle cell expert. Within the Adult Sickle Cell Medical Home, APP sickle cell experts must: </w:t>
      </w:r>
    </w:p>
    <w:p w:rsidR="00C24603" w:rsidRDefault="00C24603" w:rsidP="00C24603">
      <w:pPr>
        <w:pStyle w:val="NormalWeb"/>
        <w:rPr>
          <w:color w:val="000000"/>
          <w:sz w:val="27"/>
          <w:szCs w:val="27"/>
        </w:rPr>
      </w:pPr>
      <w:r>
        <w:rPr>
          <w:color w:val="000000"/>
          <w:sz w:val="27"/>
          <w:szCs w:val="27"/>
        </w:rPr>
        <w:t xml:space="preserve">1) </w:t>
      </w:r>
      <w:proofErr w:type="gramStart"/>
      <w:r>
        <w:rPr>
          <w:color w:val="000000"/>
          <w:sz w:val="27"/>
          <w:szCs w:val="27"/>
        </w:rPr>
        <w:t>conduct</w:t>
      </w:r>
      <w:proofErr w:type="gramEnd"/>
      <w:r>
        <w:rPr>
          <w:color w:val="000000"/>
          <w:sz w:val="27"/>
          <w:szCs w:val="27"/>
        </w:rPr>
        <w:t xml:space="preserve"> outpatient case management</w:t>
      </w:r>
    </w:p>
    <w:p w:rsidR="00C24603" w:rsidRDefault="00C24603" w:rsidP="00C24603">
      <w:pPr>
        <w:pStyle w:val="NormalWeb"/>
        <w:rPr>
          <w:color w:val="000000"/>
          <w:sz w:val="27"/>
          <w:szCs w:val="27"/>
        </w:rPr>
      </w:pPr>
      <w:r>
        <w:rPr>
          <w:color w:val="000000"/>
          <w:sz w:val="27"/>
          <w:szCs w:val="27"/>
        </w:rPr>
        <w:t xml:space="preserve">2) </w:t>
      </w:r>
      <w:proofErr w:type="gramStart"/>
      <w:r>
        <w:rPr>
          <w:color w:val="000000"/>
          <w:sz w:val="27"/>
          <w:szCs w:val="27"/>
        </w:rPr>
        <w:t>write</w:t>
      </w:r>
      <w:proofErr w:type="gramEnd"/>
      <w:r>
        <w:rPr>
          <w:color w:val="000000"/>
          <w:sz w:val="27"/>
          <w:szCs w:val="27"/>
        </w:rPr>
        <w:t xml:space="preserve"> prescription refills and troubleshoot refill issues</w:t>
      </w:r>
    </w:p>
    <w:p w:rsidR="00C24603" w:rsidRDefault="00C24603" w:rsidP="00C24603">
      <w:pPr>
        <w:pStyle w:val="NormalWeb"/>
        <w:rPr>
          <w:color w:val="000000"/>
          <w:sz w:val="27"/>
          <w:szCs w:val="27"/>
        </w:rPr>
      </w:pPr>
      <w:r>
        <w:rPr>
          <w:color w:val="000000"/>
          <w:sz w:val="27"/>
          <w:szCs w:val="27"/>
        </w:rPr>
        <w:lastRenderedPageBreak/>
        <w:t>3) conduct in-person and telephone visits</w:t>
      </w:r>
    </w:p>
    <w:p w:rsidR="00C24603" w:rsidRDefault="00C24603" w:rsidP="00C24603">
      <w:pPr>
        <w:pStyle w:val="NormalWeb"/>
        <w:rPr>
          <w:color w:val="000000"/>
          <w:sz w:val="27"/>
          <w:szCs w:val="27"/>
        </w:rPr>
      </w:pPr>
      <w:r>
        <w:rPr>
          <w:color w:val="000000"/>
          <w:sz w:val="27"/>
          <w:szCs w:val="27"/>
        </w:rPr>
        <w:t>4) order critical laboratory tests</w:t>
      </w:r>
    </w:p>
    <w:p w:rsidR="00C24603" w:rsidRDefault="00C24603" w:rsidP="00C24603">
      <w:pPr>
        <w:pStyle w:val="NormalWeb"/>
        <w:rPr>
          <w:color w:val="000000"/>
          <w:sz w:val="27"/>
          <w:szCs w:val="27"/>
        </w:rPr>
      </w:pPr>
      <w:r>
        <w:rPr>
          <w:color w:val="000000"/>
          <w:sz w:val="27"/>
          <w:szCs w:val="27"/>
        </w:rPr>
        <w:t xml:space="preserve">5) </w:t>
      </w:r>
      <w:proofErr w:type="gramStart"/>
      <w:r>
        <w:rPr>
          <w:color w:val="000000"/>
          <w:sz w:val="27"/>
          <w:szCs w:val="27"/>
        </w:rPr>
        <w:t>arrange</w:t>
      </w:r>
      <w:proofErr w:type="gramEnd"/>
      <w:r>
        <w:rPr>
          <w:color w:val="000000"/>
          <w:sz w:val="27"/>
          <w:szCs w:val="27"/>
        </w:rPr>
        <w:t xml:space="preserve"> specialty transfusions including </w:t>
      </w:r>
      <w:proofErr w:type="spellStart"/>
      <w:r>
        <w:rPr>
          <w:color w:val="000000"/>
          <w:sz w:val="27"/>
          <w:szCs w:val="27"/>
        </w:rPr>
        <w:t>erythrocytapheresis</w:t>
      </w:r>
      <w:proofErr w:type="spellEnd"/>
      <w:r>
        <w:rPr>
          <w:color w:val="000000"/>
          <w:sz w:val="27"/>
          <w:szCs w:val="27"/>
        </w:rPr>
        <w:t xml:space="preserve"> for sickle cell stroke prevention and sickle cell acute chest syndrome</w:t>
      </w:r>
    </w:p>
    <w:p w:rsidR="00C24603" w:rsidRDefault="00C24603" w:rsidP="00C24603">
      <w:pPr>
        <w:pStyle w:val="NormalWeb"/>
        <w:rPr>
          <w:color w:val="000000"/>
          <w:sz w:val="27"/>
          <w:szCs w:val="27"/>
        </w:rPr>
      </w:pPr>
      <w:r>
        <w:rPr>
          <w:color w:val="000000"/>
          <w:sz w:val="27"/>
          <w:szCs w:val="27"/>
        </w:rPr>
        <w:t xml:space="preserve">6) </w:t>
      </w:r>
      <w:proofErr w:type="gramStart"/>
      <w:r>
        <w:rPr>
          <w:color w:val="000000"/>
          <w:sz w:val="27"/>
          <w:szCs w:val="27"/>
        </w:rPr>
        <w:t>interpret</w:t>
      </w:r>
      <w:proofErr w:type="gramEnd"/>
      <w:r>
        <w:rPr>
          <w:color w:val="000000"/>
          <w:sz w:val="27"/>
          <w:szCs w:val="27"/>
        </w:rPr>
        <w:t xml:space="preserve"> specialty laboratory results including sickle cell diagnostic results (hemoglobin electrophoreses)</w:t>
      </w:r>
    </w:p>
    <w:p w:rsidR="00C24603" w:rsidRDefault="00C24603" w:rsidP="00C24603">
      <w:pPr>
        <w:pStyle w:val="NormalWeb"/>
        <w:rPr>
          <w:color w:val="000000"/>
          <w:sz w:val="27"/>
          <w:szCs w:val="27"/>
        </w:rPr>
      </w:pPr>
      <w:r>
        <w:rPr>
          <w:color w:val="000000"/>
          <w:sz w:val="27"/>
          <w:szCs w:val="27"/>
        </w:rPr>
        <w:t xml:space="preserve">7) </w:t>
      </w:r>
      <w:proofErr w:type="gramStart"/>
      <w:r>
        <w:rPr>
          <w:color w:val="000000"/>
          <w:sz w:val="27"/>
          <w:szCs w:val="27"/>
        </w:rPr>
        <w:t>make</w:t>
      </w:r>
      <w:proofErr w:type="gramEnd"/>
      <w:r>
        <w:rPr>
          <w:color w:val="000000"/>
          <w:sz w:val="27"/>
          <w:szCs w:val="27"/>
        </w:rPr>
        <w:t xml:space="preserve"> specialty referrals</w:t>
      </w:r>
    </w:p>
    <w:p w:rsidR="00C24603" w:rsidRDefault="00C24603" w:rsidP="00C24603">
      <w:pPr>
        <w:pStyle w:val="NormalWeb"/>
        <w:rPr>
          <w:color w:val="000000"/>
          <w:sz w:val="27"/>
          <w:szCs w:val="27"/>
        </w:rPr>
      </w:pPr>
      <w:r>
        <w:rPr>
          <w:color w:val="000000"/>
          <w:sz w:val="27"/>
          <w:szCs w:val="27"/>
        </w:rPr>
        <w:t xml:space="preserve">8) </w:t>
      </w:r>
      <w:proofErr w:type="gramStart"/>
      <w:r>
        <w:rPr>
          <w:color w:val="000000"/>
          <w:sz w:val="27"/>
          <w:szCs w:val="27"/>
        </w:rPr>
        <w:t>clear</w:t>
      </w:r>
      <w:proofErr w:type="gramEnd"/>
      <w:r>
        <w:rPr>
          <w:color w:val="000000"/>
          <w:sz w:val="27"/>
          <w:szCs w:val="27"/>
        </w:rPr>
        <w:t xml:space="preserve"> sickle cell patients for surgery and dental procedures</w:t>
      </w:r>
    </w:p>
    <w:p w:rsidR="00C24603" w:rsidRDefault="00C24603" w:rsidP="00C24603">
      <w:pPr>
        <w:pStyle w:val="NormalWeb"/>
        <w:rPr>
          <w:color w:val="000000"/>
          <w:sz w:val="27"/>
          <w:szCs w:val="27"/>
        </w:rPr>
      </w:pPr>
      <w:r>
        <w:rPr>
          <w:color w:val="000000"/>
          <w:sz w:val="27"/>
          <w:szCs w:val="27"/>
        </w:rPr>
        <w:t>9) assess pain (acute and chronic)</w:t>
      </w:r>
    </w:p>
    <w:p w:rsidR="00C24603" w:rsidRDefault="00C24603" w:rsidP="00C24603">
      <w:pPr>
        <w:pStyle w:val="NormalWeb"/>
        <w:rPr>
          <w:color w:val="000000"/>
          <w:sz w:val="27"/>
          <w:szCs w:val="27"/>
        </w:rPr>
      </w:pPr>
      <w:r>
        <w:rPr>
          <w:color w:val="000000"/>
          <w:sz w:val="27"/>
          <w:szCs w:val="27"/>
        </w:rPr>
        <w:t xml:space="preserve">10) </w:t>
      </w:r>
      <w:proofErr w:type="gramStart"/>
      <w:r>
        <w:rPr>
          <w:color w:val="000000"/>
          <w:sz w:val="27"/>
          <w:szCs w:val="27"/>
        </w:rPr>
        <w:t>monitor</w:t>
      </w:r>
      <w:proofErr w:type="gramEnd"/>
      <w:r>
        <w:rPr>
          <w:color w:val="000000"/>
          <w:sz w:val="27"/>
          <w:szCs w:val="27"/>
        </w:rPr>
        <w:t xml:space="preserve"> and prescribe high-dose or chronic opioids for pain</w:t>
      </w:r>
    </w:p>
    <w:p w:rsidR="00C24603" w:rsidRDefault="00C24603" w:rsidP="00C24603">
      <w:pPr>
        <w:pStyle w:val="NormalWeb"/>
        <w:rPr>
          <w:color w:val="000000"/>
          <w:sz w:val="27"/>
          <w:szCs w:val="27"/>
        </w:rPr>
      </w:pPr>
      <w:r>
        <w:rPr>
          <w:color w:val="000000"/>
          <w:sz w:val="27"/>
          <w:szCs w:val="27"/>
        </w:rPr>
        <w:t xml:space="preserve">11) </w:t>
      </w:r>
      <w:proofErr w:type="gramStart"/>
      <w:r>
        <w:rPr>
          <w:color w:val="000000"/>
          <w:sz w:val="27"/>
          <w:szCs w:val="27"/>
        </w:rPr>
        <w:t>assess</w:t>
      </w:r>
      <w:proofErr w:type="gramEnd"/>
      <w:r>
        <w:rPr>
          <w:color w:val="000000"/>
          <w:sz w:val="27"/>
          <w:szCs w:val="27"/>
        </w:rPr>
        <w:t xml:space="preserve"> patients, counsel patients, and make appeals to break barriers to access and obtain access to sickle specialty drugs including </w:t>
      </w:r>
      <w:proofErr w:type="spellStart"/>
      <w:r>
        <w:rPr>
          <w:color w:val="000000"/>
          <w:sz w:val="27"/>
          <w:szCs w:val="27"/>
        </w:rPr>
        <w:t>Hydroxyurea</w:t>
      </w:r>
      <w:proofErr w:type="spellEnd"/>
      <w:r>
        <w:rPr>
          <w:color w:val="000000"/>
          <w:sz w:val="27"/>
          <w:szCs w:val="27"/>
        </w:rPr>
        <w:t xml:space="preserve">, </w:t>
      </w:r>
      <w:proofErr w:type="spellStart"/>
      <w:r>
        <w:rPr>
          <w:color w:val="000000"/>
          <w:sz w:val="27"/>
          <w:szCs w:val="27"/>
        </w:rPr>
        <w:t>Endari</w:t>
      </w:r>
      <w:proofErr w:type="spellEnd"/>
      <w:r>
        <w:rPr>
          <w:color w:val="000000"/>
          <w:sz w:val="27"/>
          <w:szCs w:val="27"/>
        </w:rPr>
        <w:t xml:space="preserve">, </w:t>
      </w:r>
      <w:proofErr w:type="spellStart"/>
      <w:r>
        <w:rPr>
          <w:color w:val="000000"/>
          <w:sz w:val="27"/>
          <w:szCs w:val="27"/>
        </w:rPr>
        <w:t>Oxbryta</w:t>
      </w:r>
      <w:proofErr w:type="spellEnd"/>
      <w:r>
        <w:rPr>
          <w:color w:val="000000"/>
          <w:sz w:val="27"/>
          <w:szCs w:val="27"/>
        </w:rPr>
        <w:t xml:space="preserve">, </w:t>
      </w:r>
      <w:proofErr w:type="spellStart"/>
      <w:r>
        <w:rPr>
          <w:color w:val="000000"/>
          <w:sz w:val="27"/>
          <w:szCs w:val="27"/>
        </w:rPr>
        <w:t>Adakveo</w:t>
      </w:r>
      <w:proofErr w:type="spellEnd"/>
      <w:r>
        <w:rPr>
          <w:color w:val="000000"/>
          <w:sz w:val="27"/>
          <w:szCs w:val="27"/>
        </w:rPr>
        <w:t xml:space="preserve">, </w:t>
      </w:r>
      <w:proofErr w:type="spellStart"/>
      <w:r>
        <w:rPr>
          <w:color w:val="000000"/>
          <w:sz w:val="27"/>
          <w:szCs w:val="27"/>
        </w:rPr>
        <w:t>Jadenu</w:t>
      </w:r>
      <w:proofErr w:type="spellEnd"/>
      <w:r>
        <w:rPr>
          <w:color w:val="000000"/>
          <w:sz w:val="27"/>
          <w:szCs w:val="27"/>
        </w:rPr>
        <w:t xml:space="preserve">, Rituximab, </w:t>
      </w:r>
      <w:proofErr w:type="spellStart"/>
      <w:r>
        <w:rPr>
          <w:color w:val="000000"/>
          <w:sz w:val="27"/>
          <w:szCs w:val="27"/>
        </w:rPr>
        <w:t>Epogen</w:t>
      </w:r>
      <w:proofErr w:type="spellEnd"/>
      <w:r>
        <w:rPr>
          <w:color w:val="000000"/>
          <w:sz w:val="27"/>
          <w:szCs w:val="27"/>
        </w:rPr>
        <w:t xml:space="preserve">, and </w:t>
      </w:r>
      <w:proofErr w:type="spellStart"/>
      <w:r>
        <w:rPr>
          <w:color w:val="000000"/>
          <w:sz w:val="27"/>
          <w:szCs w:val="27"/>
        </w:rPr>
        <w:t>Aranesp</w:t>
      </w:r>
      <w:proofErr w:type="spellEnd"/>
    </w:p>
    <w:p w:rsidR="00C24603" w:rsidRDefault="00C24603" w:rsidP="00C24603">
      <w:pPr>
        <w:pStyle w:val="NormalWeb"/>
        <w:rPr>
          <w:color w:val="000000"/>
          <w:sz w:val="27"/>
          <w:szCs w:val="27"/>
        </w:rPr>
      </w:pPr>
      <w:r>
        <w:rPr>
          <w:color w:val="000000"/>
          <w:sz w:val="27"/>
          <w:szCs w:val="27"/>
        </w:rPr>
        <w:t xml:space="preserve">12) </w:t>
      </w:r>
      <w:proofErr w:type="gramStart"/>
      <w:r>
        <w:rPr>
          <w:color w:val="000000"/>
          <w:sz w:val="27"/>
          <w:szCs w:val="27"/>
        </w:rPr>
        <w:t>provide</w:t>
      </w:r>
      <w:proofErr w:type="gramEnd"/>
      <w:r>
        <w:rPr>
          <w:color w:val="000000"/>
          <w:sz w:val="27"/>
          <w:szCs w:val="27"/>
        </w:rPr>
        <w:t xml:space="preserve"> judgments of prognosis and sickle cell disease stage</w:t>
      </w:r>
    </w:p>
    <w:p w:rsidR="00C24603" w:rsidRDefault="00C24603" w:rsidP="00C24603">
      <w:pPr>
        <w:pStyle w:val="NormalWeb"/>
        <w:rPr>
          <w:color w:val="000000"/>
          <w:sz w:val="27"/>
          <w:szCs w:val="27"/>
        </w:rPr>
      </w:pPr>
      <w:r>
        <w:rPr>
          <w:color w:val="000000"/>
          <w:sz w:val="27"/>
          <w:szCs w:val="27"/>
        </w:rPr>
        <w:t xml:space="preserve">13) </w:t>
      </w:r>
      <w:proofErr w:type="gramStart"/>
      <w:r>
        <w:rPr>
          <w:color w:val="000000"/>
          <w:sz w:val="27"/>
          <w:szCs w:val="27"/>
        </w:rPr>
        <w:t>counsel</w:t>
      </w:r>
      <w:proofErr w:type="gramEnd"/>
      <w:r>
        <w:rPr>
          <w:color w:val="000000"/>
          <w:sz w:val="27"/>
          <w:szCs w:val="27"/>
        </w:rPr>
        <w:t xml:space="preserve"> patients about hematopoietic stem cell transplantation and gene therapy</w:t>
      </w:r>
    </w:p>
    <w:p w:rsidR="00C24603" w:rsidRDefault="00C24603" w:rsidP="00C24603">
      <w:pPr>
        <w:pStyle w:val="NormalWeb"/>
        <w:rPr>
          <w:color w:val="000000"/>
          <w:sz w:val="27"/>
          <w:szCs w:val="27"/>
        </w:rPr>
      </w:pPr>
      <w:r>
        <w:rPr>
          <w:color w:val="000000"/>
          <w:sz w:val="27"/>
          <w:szCs w:val="27"/>
        </w:rPr>
        <w:t xml:space="preserve">14) </w:t>
      </w:r>
      <w:proofErr w:type="gramStart"/>
      <w:r>
        <w:rPr>
          <w:color w:val="000000"/>
          <w:sz w:val="27"/>
          <w:szCs w:val="27"/>
        </w:rPr>
        <w:t>participate</w:t>
      </w:r>
      <w:proofErr w:type="gramEnd"/>
      <w:r>
        <w:rPr>
          <w:color w:val="000000"/>
          <w:sz w:val="27"/>
          <w:szCs w:val="27"/>
        </w:rPr>
        <w:t xml:space="preserve"> in a 24/7/365 on-call provider schedule, fielding calls from outside providers, patients, and institutions about VCU adult sickle cell patients and</w:t>
      </w:r>
    </w:p>
    <w:p w:rsidR="00C24603" w:rsidRDefault="00C24603" w:rsidP="00C24603">
      <w:pPr>
        <w:pStyle w:val="NormalWeb"/>
        <w:rPr>
          <w:color w:val="000000"/>
          <w:sz w:val="27"/>
          <w:szCs w:val="27"/>
        </w:rPr>
      </w:pPr>
      <w:r>
        <w:rPr>
          <w:color w:val="000000"/>
          <w:sz w:val="27"/>
          <w:szCs w:val="27"/>
        </w:rPr>
        <w:t xml:space="preserve">15) </w:t>
      </w:r>
      <w:proofErr w:type="gramStart"/>
      <w:r>
        <w:rPr>
          <w:color w:val="000000"/>
          <w:sz w:val="27"/>
          <w:szCs w:val="27"/>
        </w:rPr>
        <w:t>staff</w:t>
      </w:r>
      <w:proofErr w:type="gramEnd"/>
      <w:r>
        <w:rPr>
          <w:color w:val="000000"/>
          <w:sz w:val="27"/>
          <w:szCs w:val="27"/>
        </w:rPr>
        <w:t xml:space="preserve"> daily case management huddles, and solve medication problems before they result in unnecessary ED visits.</w:t>
      </w:r>
    </w:p>
    <w:p w:rsidR="00C24603" w:rsidRPr="00C24603" w:rsidRDefault="00C24603" w:rsidP="00C24603">
      <w:pPr>
        <w:pStyle w:val="NormalWeb"/>
        <w:rPr>
          <w:color w:val="000000"/>
          <w:sz w:val="27"/>
          <w:szCs w:val="27"/>
        </w:rPr>
      </w:pPr>
    </w:p>
    <w:sectPr w:rsidR="00C24603" w:rsidRPr="00C24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03"/>
    <w:rsid w:val="004337BC"/>
    <w:rsid w:val="00B90095"/>
    <w:rsid w:val="00C2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96D5B-4A01-45B8-9EE4-8F1A2E5A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46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676863">
      <w:bodyDiv w:val="1"/>
      <w:marLeft w:val="0"/>
      <w:marRight w:val="0"/>
      <w:marTop w:val="0"/>
      <w:marBottom w:val="0"/>
      <w:divBdr>
        <w:top w:val="none" w:sz="0" w:space="0" w:color="auto"/>
        <w:left w:val="none" w:sz="0" w:space="0" w:color="auto"/>
        <w:bottom w:val="none" w:sz="0" w:space="0" w:color="auto"/>
        <w:right w:val="none" w:sz="0" w:space="0" w:color="auto"/>
      </w:divBdr>
    </w:div>
    <w:div w:id="1329476246">
      <w:bodyDiv w:val="1"/>
      <w:marLeft w:val="0"/>
      <w:marRight w:val="0"/>
      <w:marTop w:val="0"/>
      <w:marBottom w:val="0"/>
      <w:divBdr>
        <w:top w:val="none" w:sz="0" w:space="0" w:color="auto"/>
        <w:left w:val="none" w:sz="0" w:space="0" w:color="auto"/>
        <w:bottom w:val="none" w:sz="0" w:space="0" w:color="auto"/>
        <w:right w:val="none" w:sz="0" w:space="0" w:color="auto"/>
      </w:divBdr>
    </w:div>
    <w:div w:id="205581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VCU Health</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 Ferlis</dc:creator>
  <cp:keywords/>
  <dc:description/>
  <cp:lastModifiedBy>Vajdos, Janis</cp:lastModifiedBy>
  <cp:revision>2</cp:revision>
  <dcterms:created xsi:type="dcterms:W3CDTF">2022-04-28T20:28:00Z</dcterms:created>
  <dcterms:modified xsi:type="dcterms:W3CDTF">2022-04-28T20:28:00Z</dcterms:modified>
</cp:coreProperties>
</file>